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11296C" w:rsidRDefault="000A4E54" w:rsidP="000A4E54">
      <w:pPr>
        <w:jc w:val="right"/>
      </w:pPr>
      <w:r w:rsidRPr="0011296C">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11296C" w:rsidRDefault="00FC2FAB">
      <w:r w:rsidRPr="0011296C">
        <w:t>Share Multi Academy Trust</w:t>
      </w:r>
    </w:p>
    <w:p w14:paraId="13A025D8" w14:textId="1BB8C5E5" w:rsidR="00CD1790" w:rsidRPr="0011296C" w:rsidRDefault="00FC2FAB">
      <w:r w:rsidRPr="0011296C">
        <w:t>Curriculum Planning Template</w:t>
      </w:r>
    </w:p>
    <w:p w14:paraId="1A8C9B5D" w14:textId="1F3108F7" w:rsidR="002475CF" w:rsidRPr="0011296C"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1296C"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1296C" w:rsidRDefault="002475CF" w:rsidP="00597073">
            <w:pPr>
              <w:rPr>
                <w:color w:val="E7E6E6" w:themeColor="background2"/>
              </w:rPr>
            </w:pPr>
            <w:r w:rsidRPr="0011296C">
              <w:rPr>
                <w:color w:val="E7E6E6" w:themeColor="background2"/>
              </w:rPr>
              <w:t>Subject:</w:t>
            </w:r>
          </w:p>
        </w:tc>
        <w:tc>
          <w:tcPr>
            <w:tcW w:w="2552" w:type="dxa"/>
          </w:tcPr>
          <w:p w14:paraId="572DE178" w14:textId="3C8938DF" w:rsidR="002475CF" w:rsidRPr="0011296C" w:rsidRDefault="66642981" w:rsidP="00597073">
            <w:pPr>
              <w:cnfStyle w:val="100000000000" w:firstRow="1" w:lastRow="0" w:firstColumn="0" w:lastColumn="0" w:oddVBand="0" w:evenVBand="0" w:oddHBand="0" w:evenHBand="0" w:firstRowFirstColumn="0" w:firstRowLastColumn="0" w:lastRowFirstColumn="0" w:lastRowLastColumn="0"/>
            </w:pPr>
            <w:r w:rsidRPr="0011296C">
              <w:t>Maths</w:t>
            </w:r>
          </w:p>
        </w:tc>
        <w:tc>
          <w:tcPr>
            <w:tcW w:w="709" w:type="dxa"/>
          </w:tcPr>
          <w:p w14:paraId="162FAC83" w14:textId="77777777" w:rsidR="002475CF" w:rsidRPr="0011296C"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1296C">
              <w:rPr>
                <w:color w:val="E7E6E6" w:themeColor="background2"/>
              </w:rPr>
              <w:t>Year</w:t>
            </w:r>
          </w:p>
        </w:tc>
        <w:tc>
          <w:tcPr>
            <w:tcW w:w="2126" w:type="dxa"/>
          </w:tcPr>
          <w:p w14:paraId="3DF9D0FE" w14:textId="05E10BC9" w:rsidR="002475CF" w:rsidRPr="0011296C" w:rsidRDefault="002E67DB" w:rsidP="00597073">
            <w:pPr>
              <w:cnfStyle w:val="100000000000" w:firstRow="1" w:lastRow="0" w:firstColumn="0" w:lastColumn="0" w:oddVBand="0" w:evenVBand="0" w:oddHBand="0" w:evenHBand="0" w:firstRowFirstColumn="0" w:firstRowLastColumn="0" w:lastRowFirstColumn="0" w:lastRowLastColumn="0"/>
            </w:pPr>
            <w:r w:rsidRPr="0011296C">
              <w:t>10</w:t>
            </w:r>
          </w:p>
        </w:tc>
        <w:tc>
          <w:tcPr>
            <w:tcW w:w="1276" w:type="dxa"/>
          </w:tcPr>
          <w:p w14:paraId="33D36AFA" w14:textId="6FDA30B1" w:rsidR="002475CF" w:rsidRPr="0011296C"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1296C">
              <w:rPr>
                <w:color w:val="E7E6E6" w:themeColor="background2"/>
              </w:rPr>
              <w:t xml:space="preserve">Ability </w:t>
            </w:r>
          </w:p>
        </w:tc>
        <w:tc>
          <w:tcPr>
            <w:tcW w:w="1417" w:type="dxa"/>
          </w:tcPr>
          <w:p w14:paraId="75027CB2" w14:textId="394AC8DE" w:rsidR="002475CF" w:rsidRPr="0011296C" w:rsidRDefault="00FE0379" w:rsidP="00597073">
            <w:pPr>
              <w:cnfStyle w:val="100000000000" w:firstRow="1" w:lastRow="0" w:firstColumn="0" w:lastColumn="0" w:oddVBand="0" w:evenVBand="0" w:oddHBand="0" w:evenHBand="0" w:firstRowFirstColumn="0" w:firstRowLastColumn="0" w:lastRowFirstColumn="0" w:lastRowLastColumn="0"/>
            </w:pPr>
            <w:r w:rsidRPr="0011296C">
              <w:t>Higher</w:t>
            </w:r>
          </w:p>
        </w:tc>
      </w:tr>
    </w:tbl>
    <w:p w14:paraId="01D89515" w14:textId="77777777" w:rsidR="00FC2FAB" w:rsidRPr="0011296C" w:rsidRDefault="00FC2FAB"/>
    <w:tbl>
      <w:tblPr>
        <w:tblStyle w:val="GridTable2"/>
        <w:tblW w:w="0" w:type="auto"/>
        <w:tblLook w:val="04A0" w:firstRow="1" w:lastRow="0" w:firstColumn="1" w:lastColumn="0" w:noHBand="0" w:noVBand="1"/>
      </w:tblPr>
      <w:tblGrid>
        <w:gridCol w:w="3445"/>
        <w:gridCol w:w="3589"/>
        <w:gridCol w:w="3582"/>
        <w:gridCol w:w="3566"/>
        <w:gridCol w:w="3625"/>
        <w:gridCol w:w="3124"/>
      </w:tblGrid>
      <w:tr w:rsidR="005D666B" w:rsidRPr="0011296C" w14:paraId="72384581" w14:textId="2661B4C8" w:rsidTr="00F7622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6CDBF049" w14:textId="70371F20" w:rsidR="005D666B" w:rsidRPr="0011296C" w:rsidRDefault="005D666B" w:rsidP="005D666B">
            <w:r w:rsidRPr="0011296C">
              <w:t>Half Term 6 / weeks</w:t>
            </w:r>
          </w:p>
        </w:tc>
        <w:tc>
          <w:tcPr>
            <w:tcW w:w="3589" w:type="dxa"/>
          </w:tcPr>
          <w:p w14:paraId="4C9E206D" w14:textId="44D14B02"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1-2</w:t>
            </w:r>
          </w:p>
        </w:tc>
        <w:tc>
          <w:tcPr>
            <w:tcW w:w="3582" w:type="dxa"/>
          </w:tcPr>
          <w:p w14:paraId="694EC266" w14:textId="23763940"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3-4</w:t>
            </w:r>
          </w:p>
        </w:tc>
        <w:tc>
          <w:tcPr>
            <w:tcW w:w="3566" w:type="dxa"/>
          </w:tcPr>
          <w:p w14:paraId="0D84A3DE" w14:textId="69E0978A"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5</w:t>
            </w:r>
          </w:p>
        </w:tc>
        <w:tc>
          <w:tcPr>
            <w:tcW w:w="3625" w:type="dxa"/>
          </w:tcPr>
          <w:p w14:paraId="348F22D6" w14:textId="15996A8D"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rsidRPr="0011296C">
              <w:t>Week 6</w:t>
            </w:r>
          </w:p>
        </w:tc>
        <w:tc>
          <w:tcPr>
            <w:tcW w:w="3124" w:type="dxa"/>
          </w:tcPr>
          <w:p w14:paraId="0D613257" w14:textId="22C33C4B" w:rsidR="005D666B" w:rsidRPr="0011296C" w:rsidRDefault="005D666B" w:rsidP="005D666B">
            <w:pPr>
              <w:cnfStyle w:val="100000000000" w:firstRow="1" w:lastRow="0" w:firstColumn="0" w:lastColumn="0" w:oddVBand="0" w:evenVBand="0" w:oddHBand="0" w:evenHBand="0" w:firstRowFirstColumn="0" w:firstRowLastColumn="0" w:lastRowFirstColumn="0" w:lastRowLastColumn="0"/>
            </w:pPr>
            <w:r>
              <w:t>Final week of the half term</w:t>
            </w:r>
          </w:p>
        </w:tc>
      </w:tr>
      <w:tr w:rsidR="005D666B" w:rsidRPr="0011296C" w14:paraId="6B62B51A" w14:textId="64D4EEFC"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73CF56ED" w14:textId="77777777" w:rsidR="005D666B" w:rsidRPr="0011296C" w:rsidRDefault="005D666B" w:rsidP="005D666B">
            <w:r w:rsidRPr="0011296C">
              <w:t>Topic</w:t>
            </w:r>
          </w:p>
        </w:tc>
        <w:tc>
          <w:tcPr>
            <w:tcW w:w="3589" w:type="dxa"/>
          </w:tcPr>
          <w:p w14:paraId="7446C60B" w14:textId="124BDD0B"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28 – Complex Volume and Surface Area</w:t>
            </w:r>
          </w:p>
        </w:tc>
        <w:tc>
          <w:tcPr>
            <w:tcW w:w="3582" w:type="dxa"/>
          </w:tcPr>
          <w:p w14:paraId="5A288F40" w14:textId="7386559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29 – Direct Proportion and Ratio</w:t>
            </w:r>
          </w:p>
        </w:tc>
        <w:tc>
          <w:tcPr>
            <w:tcW w:w="3566" w:type="dxa"/>
          </w:tcPr>
          <w:p w14:paraId="610C82CF" w14:textId="73E6CE77"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30 – Vectors</w:t>
            </w:r>
          </w:p>
        </w:tc>
        <w:tc>
          <w:tcPr>
            <w:tcW w:w="3625" w:type="dxa"/>
          </w:tcPr>
          <w:p w14:paraId="38032301" w14:textId="1CB8902E"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rsidRPr="0011296C">
              <w:t>Unit 31 – Tree Diagrams</w:t>
            </w:r>
          </w:p>
        </w:tc>
        <w:tc>
          <w:tcPr>
            <w:tcW w:w="3124" w:type="dxa"/>
          </w:tcPr>
          <w:p w14:paraId="57E124A8" w14:textId="34DFA20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5D666B" w:rsidRPr="0011296C" w14:paraId="3E69A59A" w14:textId="734820C9"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44CA9B2F" w14:textId="77777777" w:rsidR="005D666B" w:rsidRPr="0011296C" w:rsidRDefault="005D666B" w:rsidP="005D666B">
            <w:pPr>
              <w:rPr>
                <w:b w:val="0"/>
              </w:rPr>
            </w:pPr>
            <w:r w:rsidRPr="0011296C">
              <w:rPr>
                <w:b w:val="0"/>
              </w:rPr>
              <w:t>Topic overview</w:t>
            </w:r>
          </w:p>
          <w:p w14:paraId="2BB033EA" w14:textId="77777777" w:rsidR="005D666B" w:rsidRPr="0011296C" w:rsidRDefault="005D666B" w:rsidP="005D666B"/>
          <w:p w14:paraId="21C469AF" w14:textId="68640E8A" w:rsidR="005D666B" w:rsidRPr="0011296C" w:rsidRDefault="00264286" w:rsidP="005D666B">
            <w:r>
              <w:t>Student</w:t>
            </w:r>
            <w:r w:rsidR="005D666B" w:rsidRPr="0011296C">
              <w:t>s will learn…</w:t>
            </w:r>
          </w:p>
          <w:p w14:paraId="0717119B" w14:textId="77777777" w:rsidR="005D666B" w:rsidRPr="0011296C" w:rsidRDefault="005D666B" w:rsidP="005D666B"/>
        </w:tc>
        <w:tc>
          <w:tcPr>
            <w:tcW w:w="3589" w:type="dxa"/>
          </w:tcPr>
          <w:p w14:paraId="3AB991D8" w14:textId="02374B6E"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 xml:space="preserve">To understand and know how to find the volume and surface area of complex and compound shapes. </w:t>
            </w:r>
          </w:p>
          <w:p w14:paraId="7AFAA05A" w14:textId="77777777" w:rsidR="005D666B" w:rsidRPr="0011296C" w:rsidRDefault="005D666B" w:rsidP="005D666B">
            <w:pPr>
              <w:jc w:val="center"/>
              <w:cnfStyle w:val="000000000000" w:firstRow="0" w:lastRow="0" w:firstColumn="0" w:lastColumn="0" w:oddVBand="0" w:evenVBand="0" w:oddHBand="0" w:evenHBand="0" w:firstRowFirstColumn="0" w:firstRowLastColumn="0" w:lastRowFirstColumn="0" w:lastRowLastColumn="0"/>
            </w:pPr>
          </w:p>
        </w:tc>
        <w:tc>
          <w:tcPr>
            <w:tcW w:w="3582" w:type="dxa"/>
          </w:tcPr>
          <w:p w14:paraId="1251D6BD" w14:textId="6B5F0C94"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To apply earlier ratio and proportion skills in context allowing amounts to be changed given ratios including currencies.</w:t>
            </w:r>
          </w:p>
        </w:tc>
        <w:tc>
          <w:tcPr>
            <w:tcW w:w="3566" w:type="dxa"/>
          </w:tcPr>
          <w:p w14:paraId="68A7DCA3" w14:textId="1DA20C91"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To use and understand vectors including proof for linear and parallel vectors including ratios and midpoints</w:t>
            </w:r>
          </w:p>
        </w:tc>
        <w:tc>
          <w:tcPr>
            <w:tcW w:w="3625" w:type="dxa"/>
          </w:tcPr>
          <w:p w14:paraId="0AC83A1A" w14:textId="4D9F1530"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To draw and use tree diagrams to find and identify probabilities of events</w:t>
            </w:r>
          </w:p>
        </w:tc>
        <w:tc>
          <w:tcPr>
            <w:tcW w:w="3124" w:type="dxa"/>
          </w:tcPr>
          <w:p w14:paraId="0258E787"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311EC478"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p>
        </w:tc>
      </w:tr>
      <w:tr w:rsidR="005D666B" w:rsidRPr="0011296C" w14:paraId="42EBBD96" w14:textId="0463F668"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2905C2B8" w14:textId="77777777" w:rsidR="005D666B" w:rsidRPr="0011296C" w:rsidRDefault="005D666B" w:rsidP="005D666B">
            <w:pPr>
              <w:rPr>
                <w:b w:val="0"/>
                <w:bCs w:val="0"/>
              </w:rPr>
            </w:pPr>
            <w:r w:rsidRPr="0011296C">
              <w:t>Components</w:t>
            </w:r>
          </w:p>
          <w:p w14:paraId="2AA3B002" w14:textId="77777777" w:rsidR="005D666B" w:rsidRPr="0011296C" w:rsidRDefault="005D666B" w:rsidP="005D666B">
            <w:pPr>
              <w:rPr>
                <w:b w:val="0"/>
                <w:bCs w:val="0"/>
              </w:rPr>
            </w:pPr>
          </w:p>
          <w:p w14:paraId="05675156" w14:textId="77777777" w:rsidR="005D666B" w:rsidRPr="0011296C" w:rsidRDefault="005D666B" w:rsidP="005D666B">
            <w:pPr>
              <w:rPr>
                <w:b w:val="0"/>
                <w:bCs w:val="0"/>
              </w:rPr>
            </w:pPr>
          </w:p>
          <w:p w14:paraId="7602DA96" w14:textId="64A41284" w:rsidR="005D666B" w:rsidRPr="0011296C" w:rsidRDefault="005D666B" w:rsidP="005D666B"/>
        </w:tc>
        <w:tc>
          <w:tcPr>
            <w:tcW w:w="3589" w:type="dxa"/>
          </w:tcPr>
          <w:p w14:paraId="32AEC111"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calculate the volume of pyramids and cones. </w:t>
            </w:r>
          </w:p>
          <w:p w14:paraId="68F49097"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calculate the surface area of pyramids using Pythagoras.</w:t>
            </w:r>
          </w:p>
          <w:p w14:paraId="52ACC18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calculate the curved surface area of a cone. </w:t>
            </w:r>
          </w:p>
          <w:p w14:paraId="156F27C4"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calculate the volume and surface area of a sphere.</w:t>
            </w:r>
          </w:p>
          <w:p w14:paraId="01566DA0"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calculate the volume and surface area of frustums. </w:t>
            </w:r>
          </w:p>
          <w:p w14:paraId="7E8AB476" w14:textId="77777777"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582" w:type="dxa"/>
          </w:tcPr>
          <w:p w14:paraId="6D3B82F2"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simplify ratio</w:t>
            </w:r>
          </w:p>
          <w:p w14:paraId="22494FD6"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 xml:space="preserve">To express ration in the form </w:t>
            </w:r>
            <w:proofErr w:type="gramStart"/>
            <w:r w:rsidRPr="0011296C">
              <w:t>1:n</w:t>
            </w:r>
            <w:proofErr w:type="gramEnd"/>
            <w:r w:rsidRPr="0011296C">
              <w:t xml:space="preserve"> and n:1.</w:t>
            </w:r>
          </w:p>
          <w:p w14:paraId="5A120A40"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divide an amount into a given ratio.</w:t>
            </w:r>
          </w:p>
          <w:p w14:paraId="5A34F667"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direct proportion to solve problems.</w:t>
            </w:r>
          </w:p>
          <w:p w14:paraId="2514EA5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convert currencies.</w:t>
            </w:r>
          </w:p>
          <w:p w14:paraId="41BA93FE"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set up problems involving direct or inverse proportion.</w:t>
            </w:r>
          </w:p>
          <w:p w14:paraId="49C5991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graphs to solve direct and inverse proportion problems.</w:t>
            </w:r>
          </w:p>
          <w:p w14:paraId="2A3A140C" w14:textId="015418BF"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566" w:type="dxa"/>
          </w:tcPr>
          <w:p w14:paraId="375E46C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vector notation.</w:t>
            </w:r>
          </w:p>
          <w:p w14:paraId="71AEA28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draw a column vector.</w:t>
            </w:r>
          </w:p>
          <w:p w14:paraId="058D5E90"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calculate the sum or difference of two vectors.</w:t>
            </w:r>
          </w:p>
          <w:p w14:paraId="775CE41D"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combine vectors by addition.</w:t>
            </w:r>
          </w:p>
          <w:p w14:paraId="3DD09A69" w14:textId="400F8F78"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11296C">
              <w:t xml:space="preserve"> to find the magnitude of a vector. </w:t>
            </w:r>
          </w:p>
          <w:p w14:paraId="111FC988" w14:textId="77777777"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625" w:type="dxa"/>
          </w:tcPr>
          <w:p w14:paraId="225E5859"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draw a probability tree diagram.</w:t>
            </w:r>
          </w:p>
          <w:p w14:paraId="1667CA9E"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a tree diagram to calculate conditional probability.</w:t>
            </w:r>
          </w:p>
          <w:p w14:paraId="41362BF5" w14:textId="77777777" w:rsidR="005D666B" w:rsidRPr="0011296C" w:rsidRDefault="005D666B" w:rsidP="005D66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1296C">
              <w:t>To use and draw probability tree diagrams without replacement.</w:t>
            </w:r>
          </w:p>
          <w:p w14:paraId="0B833097" w14:textId="77777777"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p>
        </w:tc>
        <w:tc>
          <w:tcPr>
            <w:tcW w:w="3124" w:type="dxa"/>
          </w:tcPr>
          <w:p w14:paraId="09F099D9" w14:textId="2E504325" w:rsidR="005D666B" w:rsidRPr="0011296C" w:rsidRDefault="005D666B" w:rsidP="005D666B">
            <w:pPr>
              <w:pStyle w:val="ListParagraph"/>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5D666B" w:rsidRPr="0011296C" w14:paraId="08A67C2E" w14:textId="6E4AD7CC"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68D50E30" w14:textId="3396A268" w:rsidR="005D666B" w:rsidRPr="0011296C" w:rsidRDefault="005D666B" w:rsidP="005D666B">
            <w:r w:rsidRPr="0011296C">
              <w:t xml:space="preserve">What </w:t>
            </w:r>
            <w:r w:rsidR="00264286">
              <w:t>student</w:t>
            </w:r>
            <w:r w:rsidRPr="0011296C">
              <w:t>s should already know</w:t>
            </w:r>
          </w:p>
          <w:p w14:paraId="508E3A74" w14:textId="77777777" w:rsidR="005D666B" w:rsidRPr="0011296C" w:rsidRDefault="005D666B" w:rsidP="005D666B">
            <w:r w:rsidRPr="0011296C">
              <w:t>(prior learning components)</w:t>
            </w:r>
          </w:p>
          <w:p w14:paraId="044236B6" w14:textId="77777777" w:rsidR="005D666B" w:rsidRPr="0011296C" w:rsidRDefault="005D666B" w:rsidP="005D666B">
            <w:pPr>
              <w:rPr>
                <w:b w:val="0"/>
                <w:bCs w:val="0"/>
              </w:rPr>
            </w:pPr>
          </w:p>
          <w:p w14:paraId="7B654702" w14:textId="1B2C0ED8" w:rsidR="005D666B" w:rsidRPr="0011296C" w:rsidRDefault="005D666B" w:rsidP="005D666B"/>
        </w:tc>
        <w:tc>
          <w:tcPr>
            <w:tcW w:w="3589" w:type="dxa"/>
          </w:tcPr>
          <w:p w14:paraId="6B2FBA15"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Students should know the names and properties of 3D forms. </w:t>
            </w:r>
          </w:p>
          <w:p w14:paraId="21029EBC"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The concept of perimeter and area by measuring lengths of sides will be familiar to students. </w:t>
            </w:r>
          </w:p>
          <w:p w14:paraId="7C90435F"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 xml:space="preserve">Students should be able to substitute numbers into an equation and give answers to an appropriate degree of accuracy. </w:t>
            </w:r>
          </w:p>
          <w:p w14:paraId="62DDEF0A" w14:textId="457592BD"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Students should know the various metric units.</w:t>
            </w:r>
          </w:p>
        </w:tc>
        <w:tc>
          <w:tcPr>
            <w:tcW w:w="3582" w:type="dxa"/>
          </w:tcPr>
          <w:p w14:paraId="7728304A" w14:textId="26087CBA"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Students should have knowledge of writing statements of direct proportion and forming an equation to find values. Students will have had </w:t>
            </w:r>
            <w:r w:rsidRPr="0011296C">
              <w:lastRenderedPageBreak/>
              <w:t>experience of working with proportion, in a numerical setting.</w:t>
            </w:r>
          </w:p>
        </w:tc>
        <w:tc>
          <w:tcPr>
            <w:tcW w:w="3566" w:type="dxa"/>
          </w:tcPr>
          <w:p w14:paraId="0BA85EBE" w14:textId="77777777" w:rsidR="003002B4" w:rsidRPr="006E38DD" w:rsidRDefault="003002B4" w:rsidP="003002B4">
            <w:pPr>
              <w:cnfStyle w:val="000000000000" w:firstRow="0" w:lastRow="0" w:firstColumn="0" w:lastColumn="0" w:oddVBand="0" w:evenVBand="0" w:oddHBand="0" w:evenHBand="0" w:firstRowFirstColumn="0" w:firstRowLastColumn="0" w:lastRowFirstColumn="0" w:lastRowLastColumn="0"/>
            </w:pPr>
            <w:r w:rsidRPr="006E38DD">
              <w:lastRenderedPageBreak/>
              <w:t>Students should be able to draw linear and quadratic graphs.</w:t>
            </w:r>
          </w:p>
          <w:p w14:paraId="55475C8A" w14:textId="77777777" w:rsidR="003002B4" w:rsidRPr="006E38DD" w:rsidRDefault="003002B4" w:rsidP="003002B4">
            <w:pPr>
              <w:cnfStyle w:val="000000000000" w:firstRow="0" w:lastRow="0" w:firstColumn="0" w:lastColumn="0" w:oddVBand="0" w:evenVBand="0" w:oddHBand="0" w:evenHBand="0" w:firstRowFirstColumn="0" w:firstRowLastColumn="0" w:lastRowFirstColumn="0" w:lastRowLastColumn="0"/>
            </w:pPr>
            <w:r w:rsidRPr="006E38DD">
              <w:lastRenderedPageBreak/>
              <w:t>Students should be able to calculate the gradient of a linear function between two points.</w:t>
            </w:r>
          </w:p>
          <w:p w14:paraId="5BD18908" w14:textId="391840B9" w:rsidR="005D666B" w:rsidRPr="0011296C" w:rsidRDefault="003002B4" w:rsidP="003002B4">
            <w:pPr>
              <w:cnfStyle w:val="000000000000" w:firstRow="0" w:lastRow="0" w:firstColumn="0" w:lastColumn="0" w:oddVBand="0" w:evenVBand="0" w:oddHBand="0" w:evenHBand="0" w:firstRowFirstColumn="0" w:firstRowLastColumn="0" w:lastRowFirstColumn="0" w:lastRowLastColumn="0"/>
            </w:pPr>
            <w:bookmarkStart w:id="0" w:name="_GoBack"/>
            <w:bookmarkEnd w:id="0"/>
            <w:r w:rsidRPr="006E38DD">
              <w:t>Students should have knowledge of writing statements of direct proportion and forming an equation to find values.</w:t>
            </w:r>
          </w:p>
        </w:tc>
        <w:tc>
          <w:tcPr>
            <w:tcW w:w="3625" w:type="dxa"/>
          </w:tcPr>
          <w:p w14:paraId="58D81733"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lastRenderedPageBreak/>
              <w:t xml:space="preserve">Students should understand that a probability is a number between 0 and 1, and distinguish between events which are impossible, unlikely, </w:t>
            </w:r>
            <w:r w:rsidRPr="0011296C">
              <w:lastRenderedPageBreak/>
              <w:t xml:space="preserve">even chance, likely, and certain to occur. </w:t>
            </w:r>
          </w:p>
          <w:p w14:paraId="74FED46B"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 xml:space="preserve">Students should be able to mark events and/or probabilities on a probability scale of 0 to 1. </w:t>
            </w:r>
          </w:p>
          <w:p w14:paraId="6F28055A"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 xml:space="preserve">Students should know how to add and multiply fractions and decimals. </w:t>
            </w:r>
          </w:p>
          <w:p w14:paraId="1082E561" w14:textId="6D6250E4"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Students should have experience of expressing one number as a fraction of another number.</w:t>
            </w:r>
          </w:p>
        </w:tc>
        <w:tc>
          <w:tcPr>
            <w:tcW w:w="3124" w:type="dxa"/>
          </w:tcPr>
          <w:p w14:paraId="7E582CE8" w14:textId="77777777" w:rsidR="005D666B" w:rsidRPr="00C00E06" w:rsidRDefault="005D666B" w:rsidP="005D666B">
            <w:pPr>
              <w:cnfStyle w:val="000000000000" w:firstRow="0" w:lastRow="0" w:firstColumn="0" w:lastColumn="0" w:oddVBand="0" w:evenVBand="0" w:oddHBand="0" w:evenHBand="0" w:firstRowFirstColumn="0" w:firstRowLastColumn="0" w:lastRowFirstColumn="0" w:lastRowLastColumn="0"/>
            </w:pPr>
            <w:r w:rsidRPr="00C00E06">
              <w:lastRenderedPageBreak/>
              <w:t xml:space="preserve">All the </w:t>
            </w:r>
            <w:r>
              <w:t>half term</w:t>
            </w:r>
            <w:r w:rsidRPr="00C00E06">
              <w:t xml:space="preserve"> content will have been covered by this point. Staff will use departmental tracking </w:t>
            </w:r>
            <w:r w:rsidRPr="00C00E06">
              <w:lastRenderedPageBreak/>
              <w:t>documents to analyse the gaps in learning from</w:t>
            </w:r>
            <w:r>
              <w:t xml:space="preserve"> the most recent assessments and</w:t>
            </w:r>
            <w:r w:rsidRPr="00C00E06">
              <w:t xml:space="preserve"> all previous assessments. </w:t>
            </w:r>
          </w:p>
          <w:p w14:paraId="48458F44" w14:textId="17BFBF10"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5D666B" w:rsidRPr="0011296C" w14:paraId="07BCF150" w14:textId="2F95FBBF"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326D097C" w14:textId="77777777" w:rsidR="005D666B" w:rsidRPr="0011296C" w:rsidRDefault="005D666B" w:rsidP="005D666B">
            <w:pPr>
              <w:rPr>
                <w:b w:val="0"/>
                <w:bCs w:val="0"/>
              </w:rPr>
            </w:pPr>
            <w:r w:rsidRPr="0011296C">
              <w:lastRenderedPageBreak/>
              <w:t>Transferrable knowledge (skills)</w:t>
            </w:r>
          </w:p>
          <w:p w14:paraId="6BD3384B" w14:textId="77777777" w:rsidR="005D666B" w:rsidRPr="0011296C" w:rsidRDefault="005D666B" w:rsidP="005D666B">
            <w:pPr>
              <w:rPr>
                <w:b w:val="0"/>
                <w:bCs w:val="0"/>
              </w:rPr>
            </w:pPr>
          </w:p>
          <w:p w14:paraId="6A8E4C87" w14:textId="77777777" w:rsidR="005D666B" w:rsidRPr="0011296C" w:rsidRDefault="005D666B" w:rsidP="005D666B">
            <w:pPr>
              <w:rPr>
                <w:b w:val="0"/>
                <w:bCs w:val="0"/>
              </w:rPr>
            </w:pPr>
          </w:p>
          <w:p w14:paraId="75F69E30" w14:textId="21238411" w:rsidR="005D666B" w:rsidRPr="0011296C" w:rsidRDefault="005D666B" w:rsidP="005D666B"/>
        </w:tc>
        <w:tc>
          <w:tcPr>
            <w:tcW w:w="3589" w:type="dxa"/>
          </w:tcPr>
          <w:p w14:paraId="7759DC28" w14:textId="3F9EC3C8" w:rsidR="005D666B" w:rsidRDefault="005D666B" w:rsidP="005D666B">
            <w:pPr>
              <w:cnfStyle w:val="000000100000" w:firstRow="0" w:lastRow="0" w:firstColumn="0" w:lastColumn="0" w:oddVBand="0" w:evenVBand="0" w:oddHBand="1" w:evenHBand="0" w:firstRowFirstColumn="0" w:firstRowLastColumn="0" w:lastRowFirstColumn="0" w:lastRowLastColumn="0"/>
            </w:pPr>
            <w:r>
              <w:t xml:space="preserve">The topic will build </w:t>
            </w:r>
            <w:r w:rsidR="00264286">
              <w:t>student</w:t>
            </w:r>
            <w:r>
              <w:t>s’ confidence with basic shape and the use of basic formula.</w:t>
            </w:r>
          </w:p>
          <w:p w14:paraId="6000A00E" w14:textId="4D5FDDF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These skills will be used again when asked to complete multistep area and volume questions and in density. The use of exact value of pi continues the use of accuracy in answers that builds on the work including surds.</w:t>
            </w:r>
          </w:p>
        </w:tc>
        <w:tc>
          <w:tcPr>
            <w:tcW w:w="3582" w:type="dxa"/>
          </w:tcPr>
          <w:p w14:paraId="13093026" w14:textId="25F6D5A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The handling ratios is revisited throughout KS4 with many multi step questions incorporating this skill. This unit looks at all of these skills cementing this knowledge with a focus on currency at the end of the unit that is a life skill.</w:t>
            </w:r>
          </w:p>
        </w:tc>
        <w:tc>
          <w:tcPr>
            <w:tcW w:w="3566" w:type="dxa"/>
          </w:tcPr>
          <w:p w14:paraId="6288ED55" w14:textId="451607BB"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Vectors is used as a large part of KS5 applied mathematics with many skills met here being used. The basic vector skills </w:t>
            </w:r>
            <w:proofErr w:type="gramStart"/>
            <w:r>
              <w:t>looks</w:t>
            </w:r>
            <w:proofErr w:type="gramEnd"/>
            <w:r>
              <w:t xml:space="preserve"> to allow visual representations of mathematical ideas to be seen and the use of Pythagoras and trig will be revisited. Proof elements of this unit remind students of what is needed for mathematical proof and how a reasoned response is needed for a rigorous proof</w:t>
            </w:r>
          </w:p>
        </w:tc>
        <w:tc>
          <w:tcPr>
            <w:tcW w:w="3625" w:type="dxa"/>
          </w:tcPr>
          <w:p w14:paraId="3A05B351" w14:textId="08E52841"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The ability to visualise mathematical options is used throughout KS4 and into KS5. The probability element here builds on basic probability and works towards harder questions cover later in KS4 and then in stats at KS5 </w:t>
            </w:r>
          </w:p>
        </w:tc>
        <w:tc>
          <w:tcPr>
            <w:tcW w:w="3124" w:type="dxa"/>
          </w:tcPr>
          <w:p w14:paraId="27E79246" w14:textId="3211892D" w:rsidR="005D666B" w:rsidRDefault="005D666B" w:rsidP="005D666B">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5D666B" w:rsidRPr="0011296C" w14:paraId="4E89435C" w14:textId="79E350A2"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4B87B9B2" w14:textId="7BB77BF6" w:rsidR="005D666B" w:rsidRPr="0011296C" w:rsidRDefault="005D666B" w:rsidP="005D666B">
            <w:pPr>
              <w:rPr>
                <w:b w:val="0"/>
                <w:bCs w:val="0"/>
              </w:rPr>
            </w:pPr>
            <w:r w:rsidRPr="0011296C">
              <w:t xml:space="preserve">Key vocabulary </w:t>
            </w:r>
            <w:r w:rsidR="00264286">
              <w:t>student</w:t>
            </w:r>
            <w:r w:rsidRPr="0011296C">
              <w:t xml:space="preserve"> will know and learn</w:t>
            </w:r>
          </w:p>
          <w:p w14:paraId="5E2ED96A" w14:textId="77777777" w:rsidR="005D666B" w:rsidRPr="0011296C" w:rsidRDefault="005D666B" w:rsidP="005D666B">
            <w:pPr>
              <w:rPr>
                <w:b w:val="0"/>
                <w:bCs w:val="0"/>
              </w:rPr>
            </w:pPr>
          </w:p>
          <w:p w14:paraId="76823717" w14:textId="30EBB942" w:rsidR="005D666B" w:rsidRPr="0011296C" w:rsidRDefault="005D666B" w:rsidP="005D666B"/>
        </w:tc>
        <w:tc>
          <w:tcPr>
            <w:tcW w:w="3589" w:type="dxa"/>
          </w:tcPr>
          <w:p w14:paraId="7BE74DEE" w14:textId="4E8E38B5"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Triangle, rectangle, area, perimeter, formula, length, width, measurement, volume, nets, vertices, edge, face, circle, segment, arc, sector, circumference, radius, diameter, pi, sphere, cone, capacity, hemisphere, segment, frustum, bounds, accuracy, surface area</w:t>
            </w:r>
          </w:p>
        </w:tc>
        <w:tc>
          <w:tcPr>
            <w:tcW w:w="3582" w:type="dxa"/>
          </w:tcPr>
          <w:p w14:paraId="73A5987F" w14:textId="44D7A9C4"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Reciprocal, linear, functions, direct, indirect, proportion, </w:t>
            </w:r>
          </w:p>
        </w:tc>
        <w:tc>
          <w:tcPr>
            <w:tcW w:w="3566" w:type="dxa"/>
          </w:tcPr>
          <w:p w14:paraId="32D835DA" w14:textId="5DFA4D21"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Vector, direction, magnitude, scalar, multiple, parallel, collinear, proof, ratio, column vector</w:t>
            </w:r>
          </w:p>
        </w:tc>
        <w:tc>
          <w:tcPr>
            <w:tcW w:w="3625" w:type="dxa"/>
          </w:tcPr>
          <w:p w14:paraId="2B96AD76" w14:textId="34BC430A"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rsidRPr="0011296C">
              <w:t>Probability, mutually exclusive, conditional, tree diagrams, sample space, outcomes</w:t>
            </w:r>
          </w:p>
        </w:tc>
        <w:tc>
          <w:tcPr>
            <w:tcW w:w="3124" w:type="dxa"/>
          </w:tcPr>
          <w:p w14:paraId="20994273" w14:textId="77777777"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p>
        </w:tc>
      </w:tr>
      <w:tr w:rsidR="005D666B" w:rsidRPr="0011296C" w14:paraId="0B05F9B3" w14:textId="32970953"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29A6470A" w14:textId="77777777" w:rsidR="005D666B" w:rsidRPr="0011296C" w:rsidRDefault="005D666B" w:rsidP="005D666B">
            <w:pPr>
              <w:rPr>
                <w:b w:val="0"/>
                <w:bCs w:val="0"/>
              </w:rPr>
            </w:pPr>
            <w:r w:rsidRPr="0011296C">
              <w:t>Assessment activities</w:t>
            </w:r>
          </w:p>
          <w:p w14:paraId="7BFD703C" w14:textId="136D32EA" w:rsidR="005D666B" w:rsidRPr="0011296C" w:rsidRDefault="005D666B" w:rsidP="005D666B"/>
          <w:p w14:paraId="5F46EEA2" w14:textId="77777777" w:rsidR="005D666B" w:rsidRPr="0011296C" w:rsidRDefault="005D666B" w:rsidP="005D666B">
            <w:pPr>
              <w:rPr>
                <w:b w:val="0"/>
                <w:bCs w:val="0"/>
              </w:rPr>
            </w:pPr>
          </w:p>
          <w:p w14:paraId="02EA02CF" w14:textId="6B000CF1" w:rsidR="005D666B" w:rsidRPr="0011296C" w:rsidRDefault="005D666B" w:rsidP="005D666B"/>
        </w:tc>
        <w:tc>
          <w:tcPr>
            <w:tcW w:w="3589" w:type="dxa"/>
          </w:tcPr>
          <w:p w14:paraId="0A9A7F09"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28 – Complex Volume and Surface Area</w:t>
            </w:r>
          </w:p>
          <w:p w14:paraId="11784508" w14:textId="45BCCFBE"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82" w:type="dxa"/>
          </w:tcPr>
          <w:p w14:paraId="7B51692A"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29 – Direct Proportion and Ratio</w:t>
            </w:r>
          </w:p>
          <w:p w14:paraId="4DFCF4D5" w14:textId="1F8A2164"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66" w:type="dxa"/>
          </w:tcPr>
          <w:p w14:paraId="2539A8EB"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30 – Vectors</w:t>
            </w:r>
          </w:p>
          <w:p w14:paraId="7C4980AB" w14:textId="23F2B03D"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625" w:type="dxa"/>
          </w:tcPr>
          <w:p w14:paraId="5569297C" w14:textId="77777777" w:rsidR="005D666B" w:rsidRDefault="005D666B" w:rsidP="005D666B">
            <w:pPr>
              <w:cnfStyle w:val="000000100000" w:firstRow="0" w:lastRow="0" w:firstColumn="0" w:lastColumn="0" w:oddVBand="0" w:evenVBand="0" w:oddHBand="1" w:evenHBand="0" w:firstRowFirstColumn="0" w:firstRowLastColumn="0" w:lastRowFirstColumn="0" w:lastRowLastColumn="0"/>
            </w:pPr>
            <w:r w:rsidRPr="0011296C">
              <w:t>Homework 31 – Tree Diagrams</w:t>
            </w:r>
          </w:p>
          <w:p w14:paraId="2ADA128A" w14:textId="1ADBDBE6"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124" w:type="dxa"/>
          </w:tcPr>
          <w:p w14:paraId="674D7CEE" w14:textId="65C85E4F"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5D666B" w:rsidRPr="0011296C" w14:paraId="556A966E" w14:textId="22BEB71D" w:rsidTr="00F7622E">
        <w:trPr>
          <w:trHeight w:val="460"/>
        </w:trPr>
        <w:tc>
          <w:tcPr>
            <w:cnfStyle w:val="001000000000" w:firstRow="0" w:lastRow="0" w:firstColumn="1" w:lastColumn="0" w:oddVBand="0" w:evenVBand="0" w:oddHBand="0" w:evenHBand="0" w:firstRowFirstColumn="0" w:firstRowLastColumn="0" w:lastRowFirstColumn="0" w:lastRowLastColumn="0"/>
            <w:tcW w:w="3445" w:type="dxa"/>
          </w:tcPr>
          <w:p w14:paraId="39CD1A5F" w14:textId="77777777" w:rsidR="005D666B" w:rsidRPr="0011296C" w:rsidRDefault="005D666B" w:rsidP="005D666B">
            <w:pPr>
              <w:rPr>
                <w:b w:val="0"/>
                <w:bCs w:val="0"/>
              </w:rPr>
            </w:pPr>
            <w:r w:rsidRPr="0011296C">
              <w:t>Resources available</w:t>
            </w:r>
          </w:p>
          <w:p w14:paraId="2B5CEE4B" w14:textId="77777777" w:rsidR="005D666B" w:rsidRPr="0011296C" w:rsidRDefault="005D666B" w:rsidP="005D666B">
            <w:pPr>
              <w:rPr>
                <w:b w:val="0"/>
                <w:bCs w:val="0"/>
              </w:rPr>
            </w:pPr>
          </w:p>
          <w:p w14:paraId="3F1B3FD9" w14:textId="77777777" w:rsidR="005D666B" w:rsidRPr="0011296C" w:rsidRDefault="005D666B" w:rsidP="005D666B">
            <w:pPr>
              <w:rPr>
                <w:b w:val="0"/>
                <w:bCs w:val="0"/>
              </w:rPr>
            </w:pPr>
          </w:p>
          <w:p w14:paraId="7F48F907" w14:textId="272E87C4" w:rsidR="005D666B" w:rsidRPr="0011296C" w:rsidRDefault="005D666B" w:rsidP="005D666B"/>
        </w:tc>
        <w:tc>
          <w:tcPr>
            <w:tcW w:w="3589" w:type="dxa"/>
          </w:tcPr>
          <w:p w14:paraId="0D2B448F"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r>
              <w:t>Hegarty 170, 171, 169, 172</w:t>
            </w:r>
          </w:p>
          <w:p w14:paraId="543D7D6B"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lesson folder</w:t>
            </w:r>
          </w:p>
          <w:p w14:paraId="56016137"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0DFB51AD"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264286" w:rsidRPr="009B352F">
                <w:rPr>
                  <w:rStyle w:val="Hyperlink"/>
                </w:rPr>
                <w:t>www.corbettmaths.com</w:t>
              </w:r>
            </w:hyperlink>
          </w:p>
          <w:p w14:paraId="7D791364"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8E9D05A"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12" w:history="1">
              <w:r w:rsidR="00264286" w:rsidRPr="009B352F">
                <w:rPr>
                  <w:rStyle w:val="Hyperlink"/>
                </w:rPr>
                <w:t>www.mathsbox.org.uk</w:t>
              </w:r>
            </w:hyperlink>
          </w:p>
          <w:p w14:paraId="2CEACB43"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13" w:history="1">
              <w:r w:rsidR="00264286" w:rsidRPr="009B352F">
                <w:rPr>
                  <w:rStyle w:val="Hyperlink"/>
                </w:rPr>
                <w:t>www.mathsgenie.co.uk</w:t>
              </w:r>
            </w:hyperlink>
          </w:p>
          <w:p w14:paraId="4196764D" w14:textId="46849684" w:rsidR="00264286" w:rsidRPr="0011296C" w:rsidRDefault="003002B4" w:rsidP="00264286">
            <w:pPr>
              <w:cnfStyle w:val="000000000000" w:firstRow="0" w:lastRow="0" w:firstColumn="0" w:lastColumn="0" w:oddVBand="0" w:evenVBand="0" w:oddHBand="0" w:evenHBand="0" w:firstRowFirstColumn="0" w:firstRowLastColumn="0" w:lastRowFirstColumn="0" w:lastRowLastColumn="0"/>
            </w:pPr>
            <w:hyperlink r:id="rId14" w:history="1">
              <w:r w:rsidR="00264286" w:rsidRPr="009B352F">
                <w:rPr>
                  <w:rStyle w:val="Hyperlink"/>
                </w:rPr>
                <w:t>www.mathspad.co.uk</w:t>
              </w:r>
            </w:hyperlink>
          </w:p>
        </w:tc>
        <w:tc>
          <w:tcPr>
            <w:tcW w:w="3582" w:type="dxa"/>
          </w:tcPr>
          <w:p w14:paraId="5DEF87A0"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r>
              <w:t>Hegarty 40, 41, 42, 105, 106, 107, 199</w:t>
            </w:r>
          </w:p>
          <w:p w14:paraId="218CE6BB"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lesson folder</w:t>
            </w:r>
          </w:p>
          <w:p w14:paraId="357C65E8"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005E442F"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264286" w:rsidRPr="009B352F">
                <w:rPr>
                  <w:rStyle w:val="Hyperlink"/>
                </w:rPr>
                <w:t>www.corbettmaths.com</w:t>
              </w:r>
            </w:hyperlink>
          </w:p>
          <w:p w14:paraId="3B6A7CD1"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F432B2D"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16" w:history="1">
              <w:r w:rsidR="00264286" w:rsidRPr="009B352F">
                <w:rPr>
                  <w:rStyle w:val="Hyperlink"/>
                </w:rPr>
                <w:t>www.mathsbox.org.uk</w:t>
              </w:r>
            </w:hyperlink>
          </w:p>
          <w:p w14:paraId="4EDC4FFD"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17" w:history="1">
              <w:r w:rsidR="00264286" w:rsidRPr="009B352F">
                <w:rPr>
                  <w:rStyle w:val="Hyperlink"/>
                </w:rPr>
                <w:t>www.mathsgenie.co.uk</w:t>
              </w:r>
            </w:hyperlink>
          </w:p>
          <w:p w14:paraId="444530BA" w14:textId="74F57373" w:rsidR="00264286" w:rsidRPr="0011296C" w:rsidRDefault="003002B4" w:rsidP="00264286">
            <w:pPr>
              <w:cnfStyle w:val="000000000000" w:firstRow="0" w:lastRow="0" w:firstColumn="0" w:lastColumn="0" w:oddVBand="0" w:evenVBand="0" w:oddHBand="0" w:evenHBand="0" w:firstRowFirstColumn="0" w:firstRowLastColumn="0" w:lastRowFirstColumn="0" w:lastRowLastColumn="0"/>
            </w:pPr>
            <w:hyperlink r:id="rId18" w:history="1">
              <w:r w:rsidR="00264286" w:rsidRPr="009B352F">
                <w:rPr>
                  <w:rStyle w:val="Hyperlink"/>
                </w:rPr>
                <w:t>www.mathspad.co.uk</w:t>
              </w:r>
            </w:hyperlink>
          </w:p>
        </w:tc>
        <w:tc>
          <w:tcPr>
            <w:tcW w:w="3566" w:type="dxa"/>
          </w:tcPr>
          <w:p w14:paraId="3E47BA41"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r>
              <w:t>Hegarty 174, 219</w:t>
            </w:r>
          </w:p>
          <w:p w14:paraId="160C62AC"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lesson folder</w:t>
            </w:r>
          </w:p>
          <w:p w14:paraId="7432141B"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403A55C8"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264286" w:rsidRPr="009B352F">
                <w:rPr>
                  <w:rStyle w:val="Hyperlink"/>
                </w:rPr>
                <w:t>www.corbettmaths.com</w:t>
              </w:r>
            </w:hyperlink>
          </w:p>
          <w:p w14:paraId="18F9AACE"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D1A6FD0"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20" w:history="1">
              <w:r w:rsidR="00264286" w:rsidRPr="009B352F">
                <w:rPr>
                  <w:rStyle w:val="Hyperlink"/>
                </w:rPr>
                <w:t>www.mathsbox.org.uk</w:t>
              </w:r>
            </w:hyperlink>
          </w:p>
          <w:p w14:paraId="3A404346"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21" w:history="1">
              <w:r w:rsidR="00264286" w:rsidRPr="009B352F">
                <w:rPr>
                  <w:rStyle w:val="Hyperlink"/>
                </w:rPr>
                <w:t>www.mathsgenie.co.uk</w:t>
              </w:r>
            </w:hyperlink>
          </w:p>
          <w:p w14:paraId="2D6B37B9" w14:textId="4E619D8F" w:rsidR="00264286" w:rsidRPr="0011296C" w:rsidRDefault="003002B4" w:rsidP="00264286">
            <w:pPr>
              <w:cnfStyle w:val="000000000000" w:firstRow="0" w:lastRow="0" w:firstColumn="0" w:lastColumn="0" w:oddVBand="0" w:evenVBand="0" w:oddHBand="0" w:evenHBand="0" w:firstRowFirstColumn="0" w:firstRowLastColumn="0" w:lastRowFirstColumn="0" w:lastRowLastColumn="0"/>
            </w:pPr>
            <w:hyperlink r:id="rId22" w:history="1">
              <w:r w:rsidR="00264286" w:rsidRPr="009B352F">
                <w:rPr>
                  <w:rStyle w:val="Hyperlink"/>
                </w:rPr>
                <w:t>www.mathspad.co.uk</w:t>
              </w:r>
            </w:hyperlink>
          </w:p>
        </w:tc>
        <w:tc>
          <w:tcPr>
            <w:tcW w:w="3625" w:type="dxa"/>
          </w:tcPr>
          <w:p w14:paraId="5F86BCB8" w14:textId="77777777" w:rsidR="005D666B" w:rsidRDefault="005D666B" w:rsidP="005D666B">
            <w:pPr>
              <w:cnfStyle w:val="000000000000" w:firstRow="0" w:lastRow="0" w:firstColumn="0" w:lastColumn="0" w:oddVBand="0" w:evenVBand="0" w:oddHBand="0" w:evenHBand="0" w:firstRowFirstColumn="0" w:firstRowLastColumn="0" w:lastRowFirstColumn="0" w:lastRowLastColumn="0"/>
            </w:pPr>
            <w:r>
              <w:t>Hegarty 59, 151, 175</w:t>
            </w:r>
          </w:p>
          <w:p w14:paraId="0E2F9D72"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lesson folder</w:t>
            </w:r>
          </w:p>
          <w:p w14:paraId="53B7E260"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t>Departmental resource folder</w:t>
            </w:r>
          </w:p>
          <w:p w14:paraId="50744D0C"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rPr>
                <w:rStyle w:val="Hyperlink"/>
              </w:rPr>
            </w:pPr>
            <w:hyperlink r:id="rId23" w:history="1">
              <w:r w:rsidR="00264286" w:rsidRPr="009B352F">
                <w:rPr>
                  <w:rStyle w:val="Hyperlink"/>
                </w:rPr>
                <w:t>www.corbettmaths.com</w:t>
              </w:r>
            </w:hyperlink>
          </w:p>
          <w:p w14:paraId="18BCACD7" w14:textId="77777777" w:rsidR="00264286" w:rsidRDefault="00264286" w:rsidP="0026428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93F61AA"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24" w:history="1">
              <w:r w:rsidR="00264286" w:rsidRPr="009B352F">
                <w:rPr>
                  <w:rStyle w:val="Hyperlink"/>
                </w:rPr>
                <w:t>www.mathsbox.org.uk</w:t>
              </w:r>
            </w:hyperlink>
          </w:p>
          <w:p w14:paraId="2F927B05" w14:textId="77777777" w:rsidR="00264286" w:rsidRDefault="003002B4" w:rsidP="00264286">
            <w:pPr>
              <w:cnfStyle w:val="000000000000" w:firstRow="0" w:lastRow="0" w:firstColumn="0" w:lastColumn="0" w:oddVBand="0" w:evenVBand="0" w:oddHBand="0" w:evenHBand="0" w:firstRowFirstColumn="0" w:firstRowLastColumn="0" w:lastRowFirstColumn="0" w:lastRowLastColumn="0"/>
            </w:pPr>
            <w:hyperlink r:id="rId25" w:history="1">
              <w:r w:rsidR="00264286" w:rsidRPr="009B352F">
                <w:rPr>
                  <w:rStyle w:val="Hyperlink"/>
                </w:rPr>
                <w:t>www.mathsgenie.co.uk</w:t>
              </w:r>
            </w:hyperlink>
          </w:p>
          <w:p w14:paraId="05457A1E" w14:textId="21863480" w:rsidR="00264286" w:rsidRPr="0011296C" w:rsidRDefault="003002B4" w:rsidP="00264286">
            <w:pPr>
              <w:cnfStyle w:val="000000000000" w:firstRow="0" w:lastRow="0" w:firstColumn="0" w:lastColumn="0" w:oddVBand="0" w:evenVBand="0" w:oddHBand="0" w:evenHBand="0" w:firstRowFirstColumn="0" w:firstRowLastColumn="0" w:lastRowFirstColumn="0" w:lastRowLastColumn="0"/>
            </w:pPr>
            <w:hyperlink r:id="rId26" w:history="1">
              <w:r w:rsidR="00264286" w:rsidRPr="009B352F">
                <w:rPr>
                  <w:rStyle w:val="Hyperlink"/>
                </w:rPr>
                <w:t>www.mathspad.co.uk</w:t>
              </w:r>
            </w:hyperlink>
          </w:p>
        </w:tc>
        <w:tc>
          <w:tcPr>
            <w:tcW w:w="3124" w:type="dxa"/>
          </w:tcPr>
          <w:p w14:paraId="0983A8A8" w14:textId="52D6EA2B" w:rsidR="005D666B" w:rsidRPr="0011296C" w:rsidRDefault="005D666B" w:rsidP="005D666B">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5D666B" w:rsidRPr="0011296C" w14:paraId="3D947E55" w14:textId="1AE9F5B2" w:rsidTr="00F7622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45" w:type="dxa"/>
          </w:tcPr>
          <w:p w14:paraId="5ADF2A50" w14:textId="2F24A452" w:rsidR="005D666B" w:rsidRPr="0011296C" w:rsidRDefault="005D666B" w:rsidP="005D666B">
            <w:pPr>
              <w:rPr>
                <w:bCs w:val="0"/>
              </w:rPr>
            </w:pPr>
            <w:r w:rsidRPr="0011296C">
              <w:rPr>
                <w:b w:val="0"/>
              </w:rPr>
              <w:t>Notes</w:t>
            </w:r>
          </w:p>
          <w:p w14:paraId="2BC0B6A8" w14:textId="77777777" w:rsidR="005D666B" w:rsidRPr="0011296C" w:rsidRDefault="005D666B" w:rsidP="005D666B">
            <w:pPr>
              <w:rPr>
                <w:b w:val="0"/>
                <w:bCs w:val="0"/>
              </w:rPr>
            </w:pPr>
          </w:p>
          <w:p w14:paraId="205F3E4E" w14:textId="77777777" w:rsidR="005D666B" w:rsidRPr="0011296C" w:rsidRDefault="005D666B" w:rsidP="005D666B">
            <w:pPr>
              <w:rPr>
                <w:b w:val="0"/>
                <w:bCs w:val="0"/>
              </w:rPr>
            </w:pPr>
            <w:r w:rsidRPr="0011296C">
              <w:t>Why this topic is important…</w:t>
            </w:r>
          </w:p>
          <w:p w14:paraId="58FA1875" w14:textId="1A433BF1" w:rsidR="005D666B" w:rsidRPr="0011296C" w:rsidRDefault="005D666B" w:rsidP="005D666B"/>
        </w:tc>
        <w:tc>
          <w:tcPr>
            <w:tcW w:w="3589" w:type="dxa"/>
          </w:tcPr>
          <w:p w14:paraId="0D8927E9" w14:textId="0905F88C"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t xml:space="preserve">The unit starts with the recap of basic areas and volumes before moving to spheres. This should include partial spheres and then into cones. The unit finishes with students recalling similarity to allow students to find the volume of frustums often </w:t>
            </w:r>
            <w:r>
              <w:lastRenderedPageBreak/>
              <w:t>including the use of Pythagoras and trig. Questions including “melting down” should also be looked at to support density style questions.</w:t>
            </w:r>
          </w:p>
        </w:tc>
        <w:tc>
          <w:tcPr>
            <w:tcW w:w="3582" w:type="dxa"/>
          </w:tcPr>
          <w:p w14:paraId="61CCBC3B" w14:textId="1D3D90E2"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Students move through a series of ratio basis skills including simplification and sharing. Students should be able to move forward and back through these differ questions to aloe students to use these skills in later multistep questions. The unit </w:t>
            </w:r>
            <w:r>
              <w:lastRenderedPageBreak/>
              <w:t>should look at currency and the changing and comparison of “value” when purchasing as a life skill to end the unit.</w:t>
            </w:r>
          </w:p>
        </w:tc>
        <w:tc>
          <w:tcPr>
            <w:tcW w:w="3566" w:type="dxa"/>
          </w:tcPr>
          <w:p w14:paraId="065E122E" w14:textId="497F8056"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This unit starts with students understanding the idea of column form for vectors that should have first been seen in transformations. This use if the vector form should be both developed through diagrammatic and calculations to </w:t>
            </w:r>
            <w:r>
              <w:lastRenderedPageBreak/>
              <w:t xml:space="preserve">find resultant vectors and the vector comments of magnitude and direction.  The unit fishes with vector proof with students requiring to understand vector paths and the implications this has including mathematic </w:t>
            </w:r>
            <w:proofErr w:type="gramStart"/>
            <w:r>
              <w:t>proof .</w:t>
            </w:r>
            <w:proofErr w:type="gramEnd"/>
          </w:p>
        </w:tc>
        <w:tc>
          <w:tcPr>
            <w:tcW w:w="3625" w:type="dxa"/>
          </w:tcPr>
          <w:p w14:paraId="61EC3405" w14:textId="06EFE3FC"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Students should recap probability notation before being introduced to simple tree diagrams with replacement. A clear emphasis of the </w:t>
            </w:r>
            <w:proofErr w:type="spellStart"/>
            <w:r>
              <w:t>and</w:t>
            </w:r>
            <w:proofErr w:type="spellEnd"/>
            <w:r>
              <w:t xml:space="preserve"> or rules should be shared with students ensuring the notation is again stressed before moving to no </w:t>
            </w:r>
            <w:r>
              <w:lastRenderedPageBreak/>
              <w:t>replaced and conditional probabilities. Discussions of the best way to draw diagrams should be given to allow students to plan out the “end results” before starting the visual problem. An extension into questions that don’t require a diagram but should be notation based could be considered to help provide ground work for later units.</w:t>
            </w:r>
          </w:p>
        </w:tc>
        <w:tc>
          <w:tcPr>
            <w:tcW w:w="3124" w:type="dxa"/>
          </w:tcPr>
          <w:p w14:paraId="1C837E24" w14:textId="19E25BED" w:rsidR="005D666B" w:rsidRPr="0011296C" w:rsidRDefault="005D666B" w:rsidP="005D666B">
            <w:pPr>
              <w:cnfStyle w:val="000000100000" w:firstRow="0" w:lastRow="0" w:firstColumn="0" w:lastColumn="0" w:oddVBand="0" w:evenVBand="0" w:oddHBand="1" w:evenHBand="0" w:firstRowFirstColumn="0" w:firstRowLastColumn="0" w:lastRowFirstColumn="0" w:lastRowLastColumn="0"/>
            </w:pPr>
            <w:r>
              <w:lastRenderedPageBreak/>
              <w:t xml:space="preserve">This is an important point in the curriculum plan that enables individual teachers to review the gaps in learning for the classes they teach. The half-termly assessments are used to track students’ progress and </w:t>
            </w:r>
            <w:r>
              <w:lastRenderedPageBreak/>
              <w:t>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11296C" w:rsidRDefault="00FC2FAB" w:rsidP="00FC2FAB"/>
    <w:sectPr w:rsidR="00FC2FAB" w:rsidRPr="0011296C" w:rsidSect="000A4E54">
      <w:footerReference w:type="default" r:id="rId2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F6D4A" w14:textId="77777777" w:rsidR="007847FB" w:rsidRDefault="007847FB" w:rsidP="000A4E54">
      <w:pPr>
        <w:spacing w:after="0" w:line="240" w:lineRule="auto"/>
      </w:pPr>
      <w:r>
        <w:separator/>
      </w:r>
    </w:p>
  </w:endnote>
  <w:endnote w:type="continuationSeparator" w:id="0">
    <w:p w14:paraId="1C3BC937" w14:textId="77777777" w:rsidR="007847FB" w:rsidRDefault="007847F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09126E98"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847FB" w:rsidRPr="007847FB">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88C4A8" w14:textId="77777777" w:rsidR="007847FB" w:rsidRDefault="007847FB" w:rsidP="000A4E54">
      <w:pPr>
        <w:spacing w:after="0" w:line="240" w:lineRule="auto"/>
      </w:pPr>
      <w:r>
        <w:separator/>
      </w:r>
    </w:p>
  </w:footnote>
  <w:footnote w:type="continuationSeparator" w:id="0">
    <w:p w14:paraId="6AD6A9C8" w14:textId="77777777" w:rsidR="007847FB" w:rsidRDefault="007847F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F7F1920"/>
    <w:multiLevelType w:val="hybridMultilevel"/>
    <w:tmpl w:val="420AE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F4C5B"/>
    <w:rsid w:val="0011296C"/>
    <w:rsid w:val="00164D56"/>
    <w:rsid w:val="001D5645"/>
    <w:rsid w:val="001F3CC3"/>
    <w:rsid w:val="002475CF"/>
    <w:rsid w:val="00262659"/>
    <w:rsid w:val="00264286"/>
    <w:rsid w:val="002C2064"/>
    <w:rsid w:val="002E67DB"/>
    <w:rsid w:val="003002B4"/>
    <w:rsid w:val="00311588"/>
    <w:rsid w:val="00315FD1"/>
    <w:rsid w:val="003508C7"/>
    <w:rsid w:val="0038346C"/>
    <w:rsid w:val="003A439E"/>
    <w:rsid w:val="00485B81"/>
    <w:rsid w:val="0057635F"/>
    <w:rsid w:val="005B4C33"/>
    <w:rsid w:val="005D666B"/>
    <w:rsid w:val="00600E23"/>
    <w:rsid w:val="006422EC"/>
    <w:rsid w:val="006742F7"/>
    <w:rsid w:val="006D3263"/>
    <w:rsid w:val="00724CAB"/>
    <w:rsid w:val="007847FB"/>
    <w:rsid w:val="007956F2"/>
    <w:rsid w:val="007F03B7"/>
    <w:rsid w:val="008A79D2"/>
    <w:rsid w:val="008A7E3F"/>
    <w:rsid w:val="008B442F"/>
    <w:rsid w:val="008F222F"/>
    <w:rsid w:val="009D5AE6"/>
    <w:rsid w:val="00A342F0"/>
    <w:rsid w:val="00AA6326"/>
    <w:rsid w:val="00BA7B1E"/>
    <w:rsid w:val="00BB40B8"/>
    <w:rsid w:val="00BC516B"/>
    <w:rsid w:val="00C114A8"/>
    <w:rsid w:val="00C357ED"/>
    <w:rsid w:val="00C57C12"/>
    <w:rsid w:val="00CA434E"/>
    <w:rsid w:val="00CD1790"/>
    <w:rsid w:val="00CF7412"/>
    <w:rsid w:val="00D10434"/>
    <w:rsid w:val="00D416B5"/>
    <w:rsid w:val="00D86CFF"/>
    <w:rsid w:val="00DD08AE"/>
    <w:rsid w:val="00DD0F1C"/>
    <w:rsid w:val="00DF2370"/>
    <w:rsid w:val="00E24FC4"/>
    <w:rsid w:val="00E8487D"/>
    <w:rsid w:val="00EE0E96"/>
    <w:rsid w:val="00F7622E"/>
    <w:rsid w:val="00FC2FAB"/>
    <w:rsid w:val="00FD175C"/>
    <w:rsid w:val="00FE0379"/>
    <w:rsid w:val="00FE5AD9"/>
    <w:rsid w:val="00FF10EC"/>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280">
      <w:bodyDiv w:val="1"/>
      <w:marLeft w:val="0"/>
      <w:marRight w:val="0"/>
      <w:marTop w:val="0"/>
      <w:marBottom w:val="0"/>
      <w:divBdr>
        <w:top w:val="none" w:sz="0" w:space="0" w:color="auto"/>
        <w:left w:val="none" w:sz="0" w:space="0" w:color="auto"/>
        <w:bottom w:val="none" w:sz="0" w:space="0" w:color="auto"/>
        <w:right w:val="none" w:sz="0" w:space="0" w:color="auto"/>
      </w:divBdr>
    </w:div>
    <w:div w:id="4208338">
      <w:bodyDiv w:val="1"/>
      <w:marLeft w:val="0"/>
      <w:marRight w:val="0"/>
      <w:marTop w:val="0"/>
      <w:marBottom w:val="0"/>
      <w:divBdr>
        <w:top w:val="none" w:sz="0" w:space="0" w:color="auto"/>
        <w:left w:val="none" w:sz="0" w:space="0" w:color="auto"/>
        <w:bottom w:val="none" w:sz="0" w:space="0" w:color="auto"/>
        <w:right w:val="none" w:sz="0" w:space="0" w:color="auto"/>
      </w:divBdr>
    </w:div>
    <w:div w:id="12003776">
      <w:bodyDiv w:val="1"/>
      <w:marLeft w:val="0"/>
      <w:marRight w:val="0"/>
      <w:marTop w:val="0"/>
      <w:marBottom w:val="0"/>
      <w:divBdr>
        <w:top w:val="none" w:sz="0" w:space="0" w:color="auto"/>
        <w:left w:val="none" w:sz="0" w:space="0" w:color="auto"/>
        <w:bottom w:val="none" w:sz="0" w:space="0" w:color="auto"/>
        <w:right w:val="none" w:sz="0" w:space="0" w:color="auto"/>
      </w:divBdr>
    </w:div>
    <w:div w:id="60449510">
      <w:bodyDiv w:val="1"/>
      <w:marLeft w:val="0"/>
      <w:marRight w:val="0"/>
      <w:marTop w:val="0"/>
      <w:marBottom w:val="0"/>
      <w:divBdr>
        <w:top w:val="none" w:sz="0" w:space="0" w:color="auto"/>
        <w:left w:val="none" w:sz="0" w:space="0" w:color="auto"/>
        <w:bottom w:val="none" w:sz="0" w:space="0" w:color="auto"/>
        <w:right w:val="none" w:sz="0" w:space="0" w:color="auto"/>
      </w:divBdr>
    </w:div>
    <w:div w:id="87504195">
      <w:bodyDiv w:val="1"/>
      <w:marLeft w:val="0"/>
      <w:marRight w:val="0"/>
      <w:marTop w:val="0"/>
      <w:marBottom w:val="0"/>
      <w:divBdr>
        <w:top w:val="none" w:sz="0" w:space="0" w:color="auto"/>
        <w:left w:val="none" w:sz="0" w:space="0" w:color="auto"/>
        <w:bottom w:val="none" w:sz="0" w:space="0" w:color="auto"/>
        <w:right w:val="none" w:sz="0" w:space="0" w:color="auto"/>
      </w:divBdr>
    </w:div>
    <w:div w:id="289364771">
      <w:bodyDiv w:val="1"/>
      <w:marLeft w:val="0"/>
      <w:marRight w:val="0"/>
      <w:marTop w:val="0"/>
      <w:marBottom w:val="0"/>
      <w:divBdr>
        <w:top w:val="none" w:sz="0" w:space="0" w:color="auto"/>
        <w:left w:val="none" w:sz="0" w:space="0" w:color="auto"/>
        <w:bottom w:val="none" w:sz="0" w:space="0" w:color="auto"/>
        <w:right w:val="none" w:sz="0" w:space="0" w:color="auto"/>
      </w:divBdr>
    </w:div>
    <w:div w:id="1125343043">
      <w:bodyDiv w:val="1"/>
      <w:marLeft w:val="0"/>
      <w:marRight w:val="0"/>
      <w:marTop w:val="0"/>
      <w:marBottom w:val="0"/>
      <w:divBdr>
        <w:top w:val="none" w:sz="0" w:space="0" w:color="auto"/>
        <w:left w:val="none" w:sz="0" w:space="0" w:color="auto"/>
        <w:bottom w:val="none" w:sz="0" w:space="0" w:color="auto"/>
        <w:right w:val="none" w:sz="0" w:space="0" w:color="auto"/>
      </w:divBdr>
    </w:div>
    <w:div w:id="1188330701">
      <w:bodyDiv w:val="1"/>
      <w:marLeft w:val="0"/>
      <w:marRight w:val="0"/>
      <w:marTop w:val="0"/>
      <w:marBottom w:val="0"/>
      <w:divBdr>
        <w:top w:val="none" w:sz="0" w:space="0" w:color="auto"/>
        <w:left w:val="none" w:sz="0" w:space="0" w:color="auto"/>
        <w:bottom w:val="none" w:sz="0" w:space="0" w:color="auto"/>
        <w:right w:val="none" w:sz="0" w:space="0" w:color="auto"/>
      </w:divBdr>
    </w:div>
    <w:div w:id="1255746107">
      <w:bodyDiv w:val="1"/>
      <w:marLeft w:val="0"/>
      <w:marRight w:val="0"/>
      <w:marTop w:val="0"/>
      <w:marBottom w:val="0"/>
      <w:divBdr>
        <w:top w:val="none" w:sz="0" w:space="0" w:color="auto"/>
        <w:left w:val="none" w:sz="0" w:space="0" w:color="auto"/>
        <w:bottom w:val="none" w:sz="0" w:space="0" w:color="auto"/>
        <w:right w:val="none" w:sz="0" w:space="0" w:color="auto"/>
      </w:divBdr>
    </w:div>
    <w:div w:id="1375348824">
      <w:bodyDiv w:val="1"/>
      <w:marLeft w:val="0"/>
      <w:marRight w:val="0"/>
      <w:marTop w:val="0"/>
      <w:marBottom w:val="0"/>
      <w:divBdr>
        <w:top w:val="none" w:sz="0" w:space="0" w:color="auto"/>
        <w:left w:val="none" w:sz="0" w:space="0" w:color="auto"/>
        <w:bottom w:val="none" w:sz="0" w:space="0" w:color="auto"/>
        <w:right w:val="none" w:sz="0" w:space="0" w:color="auto"/>
      </w:divBdr>
    </w:div>
    <w:div w:id="1430198266">
      <w:bodyDiv w:val="1"/>
      <w:marLeft w:val="0"/>
      <w:marRight w:val="0"/>
      <w:marTop w:val="0"/>
      <w:marBottom w:val="0"/>
      <w:divBdr>
        <w:top w:val="none" w:sz="0" w:space="0" w:color="auto"/>
        <w:left w:val="none" w:sz="0" w:space="0" w:color="auto"/>
        <w:bottom w:val="none" w:sz="0" w:space="0" w:color="auto"/>
        <w:right w:val="none" w:sz="0" w:space="0" w:color="auto"/>
      </w:divBdr>
    </w:div>
    <w:div w:id="1445538211">
      <w:bodyDiv w:val="1"/>
      <w:marLeft w:val="0"/>
      <w:marRight w:val="0"/>
      <w:marTop w:val="0"/>
      <w:marBottom w:val="0"/>
      <w:divBdr>
        <w:top w:val="none" w:sz="0" w:space="0" w:color="auto"/>
        <w:left w:val="none" w:sz="0" w:space="0" w:color="auto"/>
        <w:bottom w:val="none" w:sz="0" w:space="0" w:color="auto"/>
        <w:right w:val="none" w:sz="0" w:space="0" w:color="auto"/>
      </w:divBdr>
    </w:div>
    <w:div w:id="1572353129">
      <w:bodyDiv w:val="1"/>
      <w:marLeft w:val="0"/>
      <w:marRight w:val="0"/>
      <w:marTop w:val="0"/>
      <w:marBottom w:val="0"/>
      <w:divBdr>
        <w:top w:val="none" w:sz="0" w:space="0" w:color="auto"/>
        <w:left w:val="none" w:sz="0" w:space="0" w:color="auto"/>
        <w:bottom w:val="none" w:sz="0" w:space="0" w:color="auto"/>
        <w:right w:val="none" w:sz="0" w:space="0" w:color="auto"/>
      </w:divBdr>
    </w:div>
    <w:div w:id="1573587442">
      <w:bodyDiv w:val="1"/>
      <w:marLeft w:val="0"/>
      <w:marRight w:val="0"/>
      <w:marTop w:val="0"/>
      <w:marBottom w:val="0"/>
      <w:divBdr>
        <w:top w:val="none" w:sz="0" w:space="0" w:color="auto"/>
        <w:left w:val="none" w:sz="0" w:space="0" w:color="auto"/>
        <w:bottom w:val="none" w:sz="0" w:space="0" w:color="auto"/>
        <w:right w:val="none" w:sz="0" w:space="0" w:color="auto"/>
      </w:divBdr>
    </w:div>
    <w:div w:id="1618566589">
      <w:bodyDiv w:val="1"/>
      <w:marLeft w:val="0"/>
      <w:marRight w:val="0"/>
      <w:marTop w:val="0"/>
      <w:marBottom w:val="0"/>
      <w:divBdr>
        <w:top w:val="none" w:sz="0" w:space="0" w:color="auto"/>
        <w:left w:val="none" w:sz="0" w:space="0" w:color="auto"/>
        <w:bottom w:val="none" w:sz="0" w:space="0" w:color="auto"/>
        <w:right w:val="none" w:sz="0" w:space="0" w:color="auto"/>
      </w:divBdr>
    </w:div>
    <w:div w:id="1677027385">
      <w:bodyDiv w:val="1"/>
      <w:marLeft w:val="0"/>
      <w:marRight w:val="0"/>
      <w:marTop w:val="0"/>
      <w:marBottom w:val="0"/>
      <w:divBdr>
        <w:top w:val="none" w:sz="0" w:space="0" w:color="auto"/>
        <w:left w:val="none" w:sz="0" w:space="0" w:color="auto"/>
        <w:bottom w:val="none" w:sz="0" w:space="0" w:color="auto"/>
        <w:right w:val="none" w:sz="0" w:space="0" w:color="auto"/>
      </w:divBdr>
    </w:div>
    <w:div w:id="1835800065">
      <w:bodyDiv w:val="1"/>
      <w:marLeft w:val="0"/>
      <w:marRight w:val="0"/>
      <w:marTop w:val="0"/>
      <w:marBottom w:val="0"/>
      <w:divBdr>
        <w:top w:val="none" w:sz="0" w:space="0" w:color="auto"/>
        <w:left w:val="none" w:sz="0" w:space="0" w:color="auto"/>
        <w:bottom w:val="none" w:sz="0" w:space="0" w:color="auto"/>
        <w:right w:val="none" w:sz="0" w:space="0" w:color="auto"/>
      </w:divBdr>
    </w:div>
    <w:div w:id="2004308607">
      <w:bodyDiv w:val="1"/>
      <w:marLeft w:val="0"/>
      <w:marRight w:val="0"/>
      <w:marTop w:val="0"/>
      <w:marBottom w:val="0"/>
      <w:divBdr>
        <w:top w:val="none" w:sz="0" w:space="0" w:color="auto"/>
        <w:left w:val="none" w:sz="0" w:space="0" w:color="auto"/>
        <w:bottom w:val="none" w:sz="0" w:space="0" w:color="auto"/>
        <w:right w:val="none" w:sz="0" w:space="0" w:color="auto"/>
      </w:divBdr>
    </w:div>
    <w:div w:id="2077436147">
      <w:bodyDiv w:val="1"/>
      <w:marLeft w:val="0"/>
      <w:marRight w:val="0"/>
      <w:marTop w:val="0"/>
      <w:marBottom w:val="0"/>
      <w:divBdr>
        <w:top w:val="none" w:sz="0" w:space="0" w:color="auto"/>
        <w:left w:val="none" w:sz="0" w:space="0" w:color="auto"/>
        <w:bottom w:val="none" w:sz="0" w:space="0" w:color="auto"/>
        <w:right w:val="none" w:sz="0" w:space="0" w:color="auto"/>
      </w:divBdr>
    </w:div>
    <w:div w:id="2135638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26"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hyperlink" Target="http://www.mathsbox.org.uk"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hyperlink" Target="http://www.corbettmaths.com"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3B2F13-C95E-461B-AB23-661FD3FE9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24</cp:revision>
  <dcterms:created xsi:type="dcterms:W3CDTF">2021-11-02T12:58:00Z</dcterms:created>
  <dcterms:modified xsi:type="dcterms:W3CDTF">2022-06-23T15:54:00Z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